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B5" w:rsidRPr="00BB258F" w:rsidRDefault="00BB258F" w:rsidP="00BB258F">
      <w:pPr>
        <w:pStyle w:val="10"/>
        <w:jc w:val="center"/>
        <w:rPr>
          <w:rFonts w:ascii="Times New Roman" w:eastAsia="Times New Roman" w:hAnsi="Times New Roman" w:cs="Times New Roman"/>
          <w:b/>
          <w:highlight w:val="white"/>
          <w:lang w:val="kk-KZ"/>
        </w:rPr>
      </w:pPr>
      <w:r w:rsidRPr="00BB258F">
        <w:rPr>
          <w:rFonts w:ascii="Times New Roman" w:eastAsia="Times New Roman" w:hAnsi="Times New Roman" w:cs="Times New Roman"/>
          <w:b/>
          <w:highlight w:val="white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:rsidR="000A34B5" w:rsidRPr="00BB258F" w:rsidRDefault="00BB258F">
      <w:pPr>
        <w:pStyle w:val="10"/>
        <w:rPr>
          <w:rFonts w:ascii="Times New Roman" w:eastAsia="Times New Roman" w:hAnsi="Times New Roman" w:cs="Times New Roman"/>
          <w:b/>
          <w:highlight w:val="white"/>
          <w:lang w:val="kk-KZ"/>
        </w:rPr>
      </w:pPr>
      <w:r w:rsidRPr="00BB258F">
        <w:rPr>
          <w:rFonts w:ascii="Times New Roman" w:eastAsia="Times New Roman" w:hAnsi="Times New Roman" w:cs="Times New Roman"/>
          <w:b/>
          <w:highlight w:val="white"/>
          <w:lang w:val="kk-KZ"/>
        </w:rPr>
        <w:t xml:space="preserve"> </w:t>
      </w:r>
    </w:p>
    <w:p w:rsidR="000A34B5" w:rsidRPr="00F462CB" w:rsidRDefault="00BB258F">
      <w:pPr>
        <w:pStyle w:val="10"/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</w:pPr>
      <w:r w:rsidRPr="00F462CB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t xml:space="preserve">Білім беру ұйымы балабақша </w:t>
      </w:r>
      <w:r w:rsidRPr="00BB258F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t xml:space="preserve">:                    </w:t>
      </w:r>
      <w:r w:rsidRPr="00F462CB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t>«</w:t>
      </w:r>
      <w:r w:rsidR="00F462CB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t>Маржан»бөбекжайы</w:t>
      </w:r>
      <w:bookmarkStart w:id="0" w:name="_GoBack"/>
      <w:bookmarkEnd w:id="0"/>
      <w:r w:rsidR="00F462CB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t xml:space="preserve"> ЖМ</w:t>
      </w:r>
      <w:r w:rsidRPr="00F462CB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br/>
        <w:t>Топ: ортаңғы топ</w:t>
      </w:r>
      <w:r w:rsidRPr="00BB258F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t>:                                           «Нұр» тобы</w:t>
      </w:r>
      <w:r w:rsidRPr="00F462CB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br/>
        <w:t xml:space="preserve">Балалардың жасы: </w:t>
      </w:r>
      <w:r w:rsidRPr="00BB258F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t xml:space="preserve">                                          </w:t>
      </w:r>
      <w:r w:rsidRPr="00F462CB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t>3 жастан.</w:t>
      </w:r>
      <w:r w:rsidRPr="00F462CB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br/>
        <w:t xml:space="preserve">Жоспардың құрылу кезеңі: </w:t>
      </w:r>
      <w:r w:rsidRPr="00BB258F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t xml:space="preserve">                            </w:t>
      </w:r>
      <w:r w:rsidRPr="00F462CB">
        <w:rPr>
          <w:rFonts w:ascii="Times New Roman" w:eastAsia="Times New Roman" w:hAnsi="Times New Roman" w:cs="Times New Roman"/>
          <w:b/>
          <w:sz w:val="24"/>
          <w:highlight w:val="white"/>
          <w:lang w:val="kk-KZ"/>
        </w:rPr>
        <w:t>қыргүйек айы, 2023-2024 оқу жылы.</w:t>
      </w:r>
    </w:p>
    <w:p w:rsidR="000A34B5" w:rsidRPr="00F462CB" w:rsidRDefault="000A34B5">
      <w:pPr>
        <w:pStyle w:val="10"/>
        <w:rPr>
          <w:rFonts w:ascii="Times New Roman" w:eastAsia="Times New Roman" w:hAnsi="Times New Roman" w:cs="Times New Roman"/>
          <w:b/>
          <w:highlight w:val="white"/>
          <w:lang w:val="kk-KZ"/>
        </w:rPr>
      </w:pPr>
    </w:p>
    <w:tbl>
      <w:tblPr>
        <w:tblStyle w:val="a5"/>
        <w:tblW w:w="13905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000"/>
        <w:gridCol w:w="9180"/>
      </w:tblGrid>
      <w:tr w:rsidR="000A34B5" w:rsidRPr="00BB258F">
        <w:trPr>
          <w:cantSplit/>
          <w:tblHeader/>
        </w:trPr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Айы</w:t>
            </w:r>
            <w:proofErr w:type="spellEnd"/>
          </w:p>
        </w:tc>
        <w:tc>
          <w:tcPr>
            <w:tcW w:w="30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Ұйымдастырылған 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әрекет</w:t>
            </w:r>
          </w:p>
        </w:tc>
        <w:tc>
          <w:tcPr>
            <w:tcW w:w="91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әрекеттің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міндеттері</w:t>
            </w:r>
            <w:proofErr w:type="spellEnd"/>
          </w:p>
        </w:tc>
      </w:tr>
      <w:tr w:rsidR="000A34B5" w:rsidRPr="00BB258F">
        <w:trPr>
          <w:cantSplit/>
          <w:tblHeader/>
        </w:trPr>
        <w:tc>
          <w:tcPr>
            <w:tcW w:w="172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lastRenderedPageBreak/>
              <w:t>Қыргүйек</w:t>
            </w:r>
          </w:p>
        </w:tc>
        <w:tc>
          <w:tcPr>
            <w:tcW w:w="30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</w:p>
        </w:tc>
        <w:tc>
          <w:tcPr>
            <w:tcW w:w="918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жаттығуларын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орындау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түрлері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лақтыру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қағып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еңбектеу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өрмелеуді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орындаудың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әдени-гигиеналық дағдыларды қалыптастыру;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белсенді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орындауды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үйлестіру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жаттығуларына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қызығушылыққа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баулу;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денсаулық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ны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ғайтуға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ықпал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ететін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сапаларын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ептілік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шапшаңдықты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құрдастарымен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ойындарды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өзара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оң қарымқатынас жасауға баулу;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спорттық жабдықтарды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қолдануда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қауіпсіздікті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қалыпты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ұшымен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тізені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сапта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бірбірден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екеуден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жұппен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; әртүрлі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: тура,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жыланша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тапсырмаларды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орындай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ұстасып,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арқаннан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тоқтап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жартылай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айналып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еденге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қойылған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аттап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айналу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иық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белдеуіне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: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қолды жоғары, алға, 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жан-жа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ққа көтеру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түсіру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кезекпен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);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қолынан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екінші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артқа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апару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басынан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жоғары көтеру;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басынан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артына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апарып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шапалақтау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қарату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қолды көтеру, түсіру, саусақтарды қозғалту, қол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саусақтарын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жұму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ашу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белсенділігі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орындауда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дербестігін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белсенділігі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шығармашылығын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Арбалар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автомобильдер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велосипедтер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доптар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шарлармен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. Өрмелеу,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еңбектеу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дағдыларын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,е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птілікті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жылдамдықты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мәнерлі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Спорттық жаттығулар.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Велосипед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тебу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дөңгелекті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велосипедті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тура,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оңға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сол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тебу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Жүзу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гидроаэробика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элементтері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Су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түсу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ойнау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суда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билеу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Жүзуді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тиі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жағдайлар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болған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).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Мәдени-гигиеналық дағдыларды қалыптастыру.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Күнделікті өмірде гигиеналық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кешке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қалыптастыру.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өзі қызмет көрсету дағдылары.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Салауатты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өмі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салты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қалыптастыру.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Сезім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үшелерін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ажыратуға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атауға (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құлақ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мұрын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ауыз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ағзадағы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рөлі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қорғауға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күтуге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болатыны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беру (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құлаққа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мұрынға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тықпау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).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Сауықтыру-шынықтыру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шаралары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денсаулығын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жергілікті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жағдайларды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ескере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факторлар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ауа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суды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пайдалана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шараларының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кешені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үзеге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асыру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A34B5" w:rsidRPr="00BB258F">
        <w:trPr>
          <w:cantSplit/>
          <w:tblHeader/>
        </w:trPr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0A34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үйрету;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әрекетінде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бір-бі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сөйлесуіне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- әрбі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баланың қызығушылығына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мән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сұрақтарына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сөйлесу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Сөйлеудің дыбыстық мәдениеті.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Дауысты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(а)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кейбі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дауыссыз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(п-б)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дыбыстарды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анық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дыбыстардың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артикуляциясын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нақтылау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артикуляциялық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аппаратты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сөйлеу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қарқынын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өзгерту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жаңылтпаштар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Сөзді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қор.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арқылы кеңейту,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қасиеттерін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білдіретін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ыдыс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жиһаз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ерекше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белгілері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жалпылаушы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сөздермен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қарам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мағынадағы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сөздерді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антонимдерді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енгізу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Тілдің грамматикалық құрылымы.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Сөздерді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жіктелуіне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септелуіне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байланыстыру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есімдерді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ү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інде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астында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артында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тәрізді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көмекші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сөздермен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есімдерді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жекеше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көпше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етістіктерді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келер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шақта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қолдану.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Байланыстырып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A34B5" w:rsidRPr="00BB258F">
        <w:trPr>
          <w:cantSplit/>
          <w:tblHeader/>
        </w:trPr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0A34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Көркем әдебиет</w:t>
            </w:r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шешендікке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деби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ілде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баулу;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халық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ауыз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әдебиеті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шығармаларымен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салт-дә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үрлерімен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мәдениетімен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әдебиетіне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театр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әлеміне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қызығушылықты қалыптастыру.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таптар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тақпақтар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шағын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өлеңдерді 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жат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қа айтуға үйрету.</w:t>
            </w:r>
          </w:p>
        </w:tc>
      </w:tr>
      <w:tr w:rsidR="000A34B5" w:rsidRPr="00BB258F">
        <w:trPr>
          <w:cantSplit/>
          <w:tblHeader/>
        </w:trPr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0A34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артикуляциялық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дауыс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аппаратының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есту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қабілетінің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дамуына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ықпал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- қары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қатынас мәдениетіне, көркем қабылдау мен эстетикалық талғамға тәрбиелеу.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Тілдік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орта.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ересектермен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құрдастарымен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қары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қатынас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жасауына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ойында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әрекеттерде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сөйлесуге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бірлескен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келісуге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ортақ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тақырыпта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әңгімелесуге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сұрақтарға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беруге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кітаптарды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қарауға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өзінің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әсері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қалауын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білдіруге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сәлемдесуде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өтінішін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ырзашылығын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білдіруде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сыпайы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әдебін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құрдастарын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есімімен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атау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Сөйлеудің дыбыстық мәдениеті.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Артикуляциялық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дыбыстық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аппаратты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тыныс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алуды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естуді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Көрнекілікпен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көрнекіліксіз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айтылған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сөзді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түсінуді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тіліне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тән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ә, ө, қ, ү, ұ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дыбыстарын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Сөзді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қор.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сөйлеуде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әрекеттерінде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орта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нысандарының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қолдануды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ортадағы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жиі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қолданылатын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туыстық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қатынасқа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сөздерді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(«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бөпе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», «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ағ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», «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апа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», «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іні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», «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қарындас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»)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түсіну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қалыптастыру.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Тілдің грамматикалық құрылымы.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Жуан және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жіңішке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түбі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сөздерді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ажырату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көпше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қолдануға үйрету.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Бұйрық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райлы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еті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іктерді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жекелей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баулу (бар,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кел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айт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).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Байланыстырып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сөйлеудің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меңгерту, балалардың өздеріне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айтылған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ікірді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түсінуін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ала үйретілген сөйлеу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үлгілерін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әңгімелесе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луге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</w:tc>
      </w:tr>
      <w:tr w:rsidR="000A34B5" w:rsidRPr="00BB258F">
        <w:trPr>
          <w:cantSplit/>
          <w:tblHeader/>
        </w:trPr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0A34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Математика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негіздері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- қарапайым математикалық ұғымдарды қалыптастыру;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бақылау арқылы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орта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заттарының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санын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пішіні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шамасын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кеңістікте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орналасуын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ажыратуға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зерттеуге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жаңаны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тануға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сенімділікке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баулу;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командада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істей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луге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дағдыландыру;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көрнекі-қимылдық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ойлауды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қиялдауды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Сан.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», «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ұғымдары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түсініктерді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санын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ажыратуға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көп-біреу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біреу-көп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біртекті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топтастыру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біреуін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бөліп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ортадан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бірдей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табу, «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қанша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?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неше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?»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сұрағына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беру.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салыстыру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тәсілдері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арқылы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тең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тең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емес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тобын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салыстыру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Тең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?», «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Қайсысы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артық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(кем)?»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сауалдарына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</w:tc>
      </w:tr>
      <w:tr w:rsidR="000A34B5" w:rsidRPr="00BB258F">
        <w:trPr>
          <w:cantSplit/>
          <w:tblHeader/>
        </w:trPr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0A34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ортадағы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атауларымен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міндеттерімен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таныс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ажыратуға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үйрету;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отбасына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өлкесіне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Отан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сүйіспеншілікке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ересектерге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құрмет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көрсете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кішілерге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жанашыр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тәрбиелеу;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- еңбектің нәтижесіне құрметпен қ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арау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ға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көмек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ниеттерін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табиғатта қауіпсіздікті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саңырауқұлақтар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жидектер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жемеу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жануарлар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тиіспеу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);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құммен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ойындарда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қауіпсіз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ауыз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алмау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құмды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шашпау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құлаққа, мұ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рын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 тықпау);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- табиғ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қа сүйіспеншілікке және қамқорлық жасауға баулу.</w:t>
            </w:r>
          </w:p>
        </w:tc>
      </w:tr>
      <w:tr w:rsidR="000A34B5" w:rsidRPr="00BB258F">
        <w:trPr>
          <w:cantSplit/>
          <w:tblHeader/>
        </w:trPr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0A34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Құрастыру</w:t>
            </w:r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құбылыстарды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ішіндерді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түстерді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бөліктердің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орналасуын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бере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үйлесімін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құ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A34B5" w:rsidRPr="00BB258F">
        <w:trPr>
          <w:cantSplit/>
          <w:tblHeader/>
        </w:trPr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0A34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салу</w:t>
            </w:r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ойлауы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қиялдауын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әрекеті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нәтижесіне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қарым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қатынас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орнату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әрекетін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ескере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бейнелейтін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зерттеуге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беру;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халқының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туындыларымен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сәнді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қолданбалы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туындыларына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шынайы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әлемнің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эстетикалық жағына қызығушылықты тәрбиелеу;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әрекеті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барысында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қауіпсіздікті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сақ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тау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 және еңбекқорлыққа, ұқыптылыққа баулу.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A34B5" w:rsidRPr="00BB258F">
        <w:trPr>
          <w:cantSplit/>
          <w:tblHeader/>
        </w:trPr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0A34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Мүсіндеу</w:t>
            </w:r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қалауы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материалдарды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техникасын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(саусақпен,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алақанмен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мақтамен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сазбалшықпен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ермексазбен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қағазбен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таң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дау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беру;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халқының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туындыларымен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сәнді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қолданбалы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туындыларына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шынайы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әлемнің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эстетикалық жағына қызығушылықты тәрбиелеу.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Сазбалшықтан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ермексаздан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мүсіндеуге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қызығ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ушылы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ққа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Сазбалшық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ермексаз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кесектерінен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бөлі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домалату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ширату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жаю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тәсілдерін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пайдалана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жемістерді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кейбір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азықтүлік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тағамдарын мүсіндеуге үйрету.</w:t>
            </w:r>
          </w:p>
        </w:tc>
      </w:tr>
      <w:tr w:rsidR="000A34B5" w:rsidRPr="00BB258F">
        <w:trPr>
          <w:cantSplit/>
          <w:tblHeader/>
        </w:trPr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0A34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қалауы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материалдарды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техникасын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(саусақпен,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алақанмен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мақтамен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сазбалшықпен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ермексазбен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қағазбен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таң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дау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беру;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халқының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туындыларымен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сәнді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қолданбалы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туындыларына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шынайы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әлемнің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эстетикалық жағына қызығушылықты тәрбиелеу.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жапсыруға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Қағаз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бетінде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көлемі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түсі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ішіні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дайын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пішіндерді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орналастыра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ойдан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тапсырма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заттардың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бейнесін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содан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пайда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болған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бейнені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қағазға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A34B5" w:rsidRPr="00BB258F">
        <w:trPr>
          <w:cantSplit/>
          <w:tblHeader/>
        </w:trPr>
        <w:tc>
          <w:tcPr>
            <w:tcW w:w="17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0A34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0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91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 xml:space="preserve">ға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ойлауы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қиялдауын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халқының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туындыларымен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сәнді</w:t>
            </w:r>
            <w:proofErr w:type="gramStart"/>
            <w:r w:rsidRPr="00BB258F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BB258F">
              <w:rPr>
                <w:rFonts w:ascii="Times New Roman" w:eastAsia="Times New Roman" w:hAnsi="Times New Roman" w:cs="Times New Roman"/>
              </w:rPr>
              <w:t>қолданбалы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өнерімен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>;</w:t>
            </w:r>
          </w:p>
          <w:p w:rsidR="000A34B5" w:rsidRPr="00BB258F" w:rsidRDefault="00BB258F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BB258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туындыларына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шынайы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258F">
              <w:rPr>
                <w:rFonts w:ascii="Times New Roman" w:eastAsia="Times New Roman" w:hAnsi="Times New Roman" w:cs="Times New Roman"/>
              </w:rPr>
              <w:t>әлемнің</w:t>
            </w:r>
            <w:proofErr w:type="spellEnd"/>
            <w:r w:rsidRPr="00BB258F">
              <w:rPr>
                <w:rFonts w:ascii="Times New Roman" w:eastAsia="Times New Roman" w:hAnsi="Times New Roman" w:cs="Times New Roman"/>
              </w:rPr>
              <w:t xml:space="preserve"> эстетикалық жағына қызығушылықты тәрбиелеу.</w:t>
            </w:r>
          </w:p>
        </w:tc>
      </w:tr>
    </w:tbl>
    <w:p w:rsidR="000A34B5" w:rsidRPr="00BB258F" w:rsidRDefault="000A34B5">
      <w:pPr>
        <w:pStyle w:val="10"/>
        <w:rPr>
          <w:rFonts w:ascii="Times New Roman" w:eastAsia="Times New Roman" w:hAnsi="Times New Roman" w:cs="Times New Roman"/>
          <w:highlight w:val="white"/>
        </w:rPr>
      </w:pPr>
    </w:p>
    <w:p w:rsidR="000A34B5" w:rsidRPr="00BB258F" w:rsidRDefault="000A34B5">
      <w:pPr>
        <w:pStyle w:val="10"/>
      </w:pPr>
    </w:p>
    <w:p w:rsidR="000A34B5" w:rsidRPr="00BB258F" w:rsidRDefault="000A34B5">
      <w:pPr>
        <w:pStyle w:val="10"/>
      </w:pPr>
    </w:p>
    <w:sectPr w:rsidR="000A34B5" w:rsidRPr="00BB258F" w:rsidSect="000A34B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34B5"/>
    <w:rsid w:val="000A34B5"/>
    <w:rsid w:val="00BB258F"/>
    <w:rsid w:val="00F4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0A34B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A34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A34B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A34B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A34B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A34B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A34B5"/>
  </w:style>
  <w:style w:type="table" w:customStyle="1" w:styleId="TableNormal">
    <w:name w:val="Table Normal"/>
    <w:rsid w:val="000A3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A34B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A34B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A34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1595</Words>
  <Characters>9096</Characters>
  <Application>Microsoft Office Word</Application>
  <DocSecurity>0</DocSecurity>
  <Lines>75</Lines>
  <Paragraphs>21</Paragraphs>
  <ScaleCrop>false</ScaleCrop>
  <Company>Grizli777</Company>
  <LinksUpToDate>false</LinksUpToDate>
  <CharactersWithSpaces>10670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2023-09-19T06:01:00Z</dcterms:created>
  <dcterms:modified xsi:type="dcterms:W3CDTF">2024-02-12T06:04:00Z</dcterms:modified>
</cp:coreProperties>
</file>